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+*yqw*sEu*wCe*xBc*xaD*mDo*yCn*ubD*wEl*fxk*zew*-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+*eDs*dDs*lyd*lyd*lyd*DDj*ivk*jAv*Awf*ulz*zfE*-</w:t>
            </w:r>
            <w:r>
              <w:rPr>
                <w:rFonts w:ascii="PDF417x" w:hAnsi="PDF417x"/>
                <w:sz w:val="24"/>
                <w:szCs w:val="24"/>
              </w:rPr>
              <w:br/>
              <w:t>+*ftw*lqD*cdA*Aqg*prA*dwy*vrb*aDc*lko*Cyy*onA*-</w:t>
            </w:r>
            <w:r>
              <w:rPr>
                <w:rFonts w:ascii="PDF417x" w:hAnsi="PDF417x"/>
                <w:sz w:val="24"/>
                <w:szCs w:val="24"/>
              </w:rPr>
              <w:br/>
              <w:t>+*ftA*yge*wEF*vic*mAx*cza*wln*krB*uiD*zhg*uws*-</w:t>
            </w:r>
            <w:r>
              <w:rPr>
                <w:rFonts w:ascii="PDF417x" w:hAnsi="PDF417x"/>
                <w:sz w:val="24"/>
                <w:szCs w:val="24"/>
              </w:rPr>
              <w:br/>
              <w:t>+*xjq*aFs*icg*zEt*vui*ulz*ggy*snx*xnx*bab*uzq*-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857B0" w:rsidRDefault="003F65C1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>REPUBLIKA HRVATSKA</w:t>
      </w:r>
    </w:p>
    <w:p w14:paraId="5D63EA5D" w14:textId="0D95B4FA" w:rsidR="00922DDC" w:rsidRPr="009857B0" w:rsidRDefault="00922DDC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Pr="009857B0" w:rsidRDefault="00922DDC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>GRAD GAREŠNICA</w:t>
      </w:r>
    </w:p>
    <w:p w14:paraId="19293C15" w14:textId="6F1152A2" w:rsidR="000A6040" w:rsidRPr="009857B0" w:rsidRDefault="00FB699E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>
        <w:rPr>
          <w:rFonts w:eastAsia="Times New Roman" w:cstheme="minorHAnsi"/>
          <w:noProof w:val="0"/>
          <w:color w:val="000000"/>
          <w:lang w:eastAsia="hr-HR"/>
        </w:rPr>
        <w:t>Povjerenstvo za provedbu Oglasa</w:t>
      </w:r>
    </w:p>
    <w:p w14:paraId="3379EE20" w14:textId="0445A93A" w:rsidR="00B92D0F" w:rsidRPr="009857B0" w:rsidRDefault="00B92D0F" w:rsidP="00B92D0F">
      <w:pPr>
        <w:jc w:val="both"/>
        <w:rPr>
          <w:rFonts w:eastAsia="Times New Roman" w:cstheme="minorHAnsi"/>
          <w:noProof w:val="0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ab/>
      </w:r>
      <w:r w:rsidRPr="009857B0">
        <w:rPr>
          <w:rFonts w:eastAsia="Times New Roman" w:cstheme="minorHAnsi"/>
          <w:noProof w:val="0"/>
          <w:color w:val="000000"/>
          <w:lang w:eastAsia="hr-HR"/>
        </w:rPr>
        <w:tab/>
      </w:r>
      <w:r w:rsidRPr="009857B0">
        <w:rPr>
          <w:rFonts w:eastAsia="Times New Roman" w:cstheme="minorHAnsi"/>
          <w:noProof w:val="0"/>
          <w:color w:val="000000"/>
          <w:lang w:eastAsia="hr-HR"/>
        </w:rPr>
        <w:tab/>
      </w:r>
    </w:p>
    <w:p w14:paraId="67B11731" w14:textId="77C2F2BF" w:rsidR="00B92D0F" w:rsidRPr="009857B0" w:rsidRDefault="00C9578C" w:rsidP="00B92D0F">
      <w:pPr>
        <w:rPr>
          <w:rFonts w:cstheme="minorHAnsi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9857B0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9857B0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9857B0">
        <w:rPr>
          <w:rFonts w:eastAsia="Times New Roman" w:cstheme="minorHAnsi"/>
          <w:noProof w:val="0"/>
          <w:color w:val="000000"/>
          <w:lang w:eastAsia="hr-HR"/>
        </w:rPr>
        <w:t>112-03/24-01/1</w:t>
      </w:r>
      <w:r w:rsidR="008C5FE5" w:rsidRPr="009857B0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FD39D47" w14:textId="042FF2D7" w:rsidR="00B92D0F" w:rsidRPr="009857B0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9857B0">
        <w:rPr>
          <w:rFonts w:eastAsia="Times New Roman" w:cstheme="minorHAnsi"/>
          <w:noProof w:val="0"/>
          <w:color w:val="000000"/>
          <w:lang w:eastAsia="hr-HR"/>
        </w:rPr>
        <w:t>2103-4-05-26-1</w:t>
      </w:r>
      <w:r w:rsidR="00FB699E">
        <w:rPr>
          <w:rFonts w:eastAsia="Times New Roman" w:cstheme="minorHAnsi"/>
          <w:noProof w:val="0"/>
          <w:color w:val="000000"/>
          <w:lang w:eastAsia="hr-HR"/>
        </w:rPr>
        <w:t>85</w:t>
      </w:r>
    </w:p>
    <w:p w14:paraId="4445648A" w14:textId="572942FC" w:rsidR="00B92D0F" w:rsidRPr="009857B0" w:rsidRDefault="004A27C7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lang w:eastAsia="hr-HR"/>
        </w:rPr>
        <w:t>Garešnica</w:t>
      </w:r>
      <w:r w:rsidR="00C9578C" w:rsidRPr="009857B0">
        <w:rPr>
          <w:rFonts w:eastAsia="Times New Roman" w:cstheme="minorHAnsi"/>
          <w:noProof w:val="0"/>
          <w:lang w:eastAsia="hr-HR"/>
        </w:rPr>
        <w:t xml:space="preserve">, </w:t>
      </w:r>
      <w:r w:rsidR="00FB699E">
        <w:rPr>
          <w:rFonts w:eastAsia="Times New Roman" w:cstheme="minorHAnsi"/>
          <w:noProof w:val="0"/>
          <w:color w:val="000000"/>
          <w:lang w:eastAsia="hr-HR"/>
        </w:rPr>
        <w:t>05. lipnja 2026.</w:t>
      </w:r>
      <w:r w:rsidR="009857B0" w:rsidRPr="009857B0">
        <w:rPr>
          <w:rFonts w:eastAsia="Times New Roman" w:cstheme="minorHAnsi"/>
          <w:noProof w:val="0"/>
          <w:color w:val="000000"/>
          <w:lang w:eastAsia="hr-HR"/>
        </w:rPr>
        <w:t xml:space="preserve"> godine </w:t>
      </w:r>
    </w:p>
    <w:p w14:paraId="6288A7D1" w14:textId="77777777" w:rsidR="00B92D0F" w:rsidRPr="009857B0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479BD5C" w14:textId="01F37E0A" w:rsidR="009857B0" w:rsidRPr="009857B0" w:rsidRDefault="009857B0" w:rsidP="009857B0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Temeljem točke III. Odluke o imenovanju Povjerenstva za provedbu Oglasa za prijam u radni odnos na određeno vrijeme za potrebe provedbe aktivnosti u sklopu projekta „Nikad nije kasno – faza IV“, kodni broj Ugovora SF.3.4.11.01.0331 u okviru Poziva „Zaželi – prevencija institucionalizacije – </w:t>
      </w:r>
      <w:r w:rsidR="00FB699E">
        <w:rPr>
          <w:rFonts w:ascii="Calibri" w:eastAsia="Calibri" w:hAnsi="Calibri" w:cs="Times New Roman"/>
          <w:noProof w:val="0"/>
          <w:kern w:val="2"/>
          <w14:ligatures w14:val="standardContextual"/>
        </w:rPr>
        <w:t>zamjena za bolovanje, do povratka radnice s bolovanja, a najduže do završetka projekta, odnosno do 17.12.2026.,</w:t>
      </w: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 KLASA:112-03/24-01/1, URBROJ:2103-4-02-26-1</w:t>
      </w:r>
      <w:r w:rsidR="00FB699E">
        <w:rPr>
          <w:rFonts w:ascii="Calibri" w:eastAsia="Calibri" w:hAnsi="Calibri" w:cs="Times New Roman"/>
          <w:noProof w:val="0"/>
          <w:kern w:val="2"/>
          <w14:ligatures w14:val="standardContextual"/>
        </w:rPr>
        <w:t>69</w:t>
      </w: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 od </w:t>
      </w:r>
      <w:r w:rsidR="00FB699E">
        <w:rPr>
          <w:rFonts w:ascii="Calibri" w:eastAsia="Calibri" w:hAnsi="Calibri" w:cs="Times New Roman"/>
          <w:noProof w:val="0"/>
          <w:kern w:val="2"/>
          <w14:ligatures w14:val="standardContextual"/>
        </w:rPr>
        <w:t>2</w:t>
      </w: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>5. svibnja 2026. godine Povjerenstvo za provedbu navedenog Oglasa daje slijedeću,</w:t>
      </w:r>
    </w:p>
    <w:p w14:paraId="5D624BE3" w14:textId="77777777" w:rsidR="009857B0" w:rsidRPr="009857B0" w:rsidRDefault="009857B0" w:rsidP="009857B0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>OBAVIJEST KANDIDATIMA/KANDIDATKINJAMA</w:t>
      </w:r>
    </w:p>
    <w:p w14:paraId="1F0618A9" w14:textId="77777777" w:rsidR="009857B0" w:rsidRPr="009857B0" w:rsidRDefault="009857B0" w:rsidP="009857B0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KOJI/JE ISPUNJAVAJU FORMALNE UVJETE IZ OGLASA  ZA RADNO MJESTO RADNIK/CA ZA POMOĆ I POTPORU STARIJIM OSOBAMA I ODRASLIM OSOBAMA S INVALIDITETOM  </w:t>
      </w:r>
    </w:p>
    <w:p w14:paraId="63687FE5" w14:textId="41765B08" w:rsidR="009857B0" w:rsidRDefault="009857B0" w:rsidP="009857B0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>- PROJEKT NIKAD NIJE KASNO – FAZA IV</w:t>
      </w:r>
    </w:p>
    <w:p w14:paraId="21D60151" w14:textId="77777777" w:rsidR="00FB699E" w:rsidRDefault="00FB699E" w:rsidP="009857B0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3144FEC4" w14:textId="77777777" w:rsidR="009857B0" w:rsidRPr="009857B0" w:rsidRDefault="009857B0" w:rsidP="009857B0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3AFF518D" w14:textId="34946CDA" w:rsidR="009857B0" w:rsidRPr="009857B0" w:rsidRDefault="009857B0" w:rsidP="009857B0">
      <w:pPr>
        <w:spacing w:after="160" w:line="259" w:lineRule="auto"/>
        <w:jc w:val="both"/>
        <w:rPr>
          <w:rFonts w:ascii="Calibri" w:eastAsia="Calibri" w:hAnsi="Calibri" w:cs="Times New Roman"/>
          <w:b/>
          <w:bCs/>
          <w:i/>
          <w:iCs/>
          <w:noProof w:val="0"/>
          <w:kern w:val="2"/>
          <w:sz w:val="24"/>
          <w:szCs w:val="24"/>
          <w:u w:val="single"/>
          <w14:ligatures w14:val="standardContextual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Obavještavaju se kandidati/kandidatkinje čije su prijave pravodobne, potpune (uredne) i koje ispunjavaju formalne uvjete iz Oglasa da će se razgovor (intervju) za radno mjesto radnik/radnica za pomoć i potporu starijim osobama i odraslim osobama s invaliditetom, obaviti  u </w:t>
      </w:r>
      <w:r w:rsidRPr="009857B0">
        <w:rPr>
          <w:rFonts w:ascii="Calibri" w:eastAsia="Calibri" w:hAnsi="Calibri" w:cs="Times New Roman"/>
          <w:b/>
          <w:bCs/>
          <w:noProof w:val="0"/>
          <w:kern w:val="2"/>
          <w14:ligatures w14:val="standardContextual"/>
        </w:rPr>
        <w:t>prostorijama gradske uprave Grada Garešnice, Vladimira Nazora 20 a</w:t>
      </w: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, </w:t>
      </w:r>
      <w:r w:rsidRPr="009857B0">
        <w:rPr>
          <w:rFonts w:ascii="Calibri" w:eastAsia="Calibri" w:hAnsi="Calibri" w:cs="Times New Roman"/>
          <w:b/>
          <w:bCs/>
          <w:i/>
          <w:iCs/>
          <w:noProof w:val="0"/>
          <w:kern w:val="2"/>
          <w:u w:val="single"/>
          <w14:ligatures w14:val="standardContextual"/>
        </w:rPr>
        <w:t xml:space="preserve">dana </w:t>
      </w:r>
      <w:r w:rsidR="00FB699E">
        <w:rPr>
          <w:rFonts w:ascii="Calibri" w:eastAsia="Calibri" w:hAnsi="Calibri" w:cs="Times New Roman"/>
          <w:b/>
          <w:bCs/>
          <w:i/>
          <w:iCs/>
          <w:noProof w:val="0"/>
          <w:kern w:val="2"/>
          <w:u w:val="single"/>
          <w14:ligatures w14:val="standardContextual"/>
        </w:rPr>
        <w:t>11. lipnja</w:t>
      </w:r>
      <w:r w:rsidRPr="009857B0">
        <w:rPr>
          <w:rFonts w:ascii="Calibri" w:eastAsia="Calibri" w:hAnsi="Calibri" w:cs="Times New Roman"/>
          <w:b/>
          <w:bCs/>
          <w:i/>
          <w:iCs/>
          <w:noProof w:val="0"/>
          <w:kern w:val="2"/>
          <w:u w:val="single"/>
          <w14:ligatures w14:val="standardContextual"/>
        </w:rPr>
        <w:t xml:space="preserve"> 2026. godine (ČETVRTAK) </w:t>
      </w:r>
      <w:r w:rsidR="00FB699E">
        <w:rPr>
          <w:rFonts w:ascii="Calibri" w:eastAsia="Calibri" w:hAnsi="Calibri" w:cs="Times New Roman"/>
          <w:b/>
          <w:bCs/>
          <w:i/>
          <w:iCs/>
          <w:noProof w:val="0"/>
          <w:kern w:val="2"/>
          <w:u w:val="single"/>
          <w14:ligatures w14:val="standardContextual"/>
        </w:rPr>
        <w:t>u 8:00 sati</w:t>
      </w:r>
    </w:p>
    <w:p w14:paraId="2ECA5B39" w14:textId="77777777" w:rsidR="00FB699E" w:rsidRDefault="00FB699E" w:rsidP="009857B0">
      <w:pPr>
        <w:spacing w:after="160" w:line="259" w:lineRule="auto"/>
        <w:jc w:val="both"/>
        <w:rPr>
          <w:rFonts w:ascii="Calibri" w:eastAsia="Calibri" w:hAnsi="Calibri" w:cs="Times New Roman"/>
          <w:i/>
          <w:iCs/>
          <w:noProof w:val="0"/>
          <w:kern w:val="2"/>
          <w:sz w:val="24"/>
          <w:szCs w:val="24"/>
          <w14:ligatures w14:val="standardContextual"/>
        </w:rPr>
      </w:pPr>
    </w:p>
    <w:p w14:paraId="6FE8747F" w14:textId="530CD814" w:rsidR="009857B0" w:rsidRDefault="009857B0" w:rsidP="009857B0">
      <w:pPr>
        <w:spacing w:after="160" w:line="259" w:lineRule="auto"/>
        <w:jc w:val="both"/>
        <w:rPr>
          <w:rFonts w:ascii="Calibri" w:eastAsia="Calibri" w:hAnsi="Calibri" w:cs="Times New Roman"/>
          <w:i/>
          <w:iCs/>
          <w:noProof w:val="0"/>
          <w:kern w:val="2"/>
          <w:sz w:val="24"/>
          <w:szCs w:val="24"/>
          <w14:ligatures w14:val="standardContextual"/>
        </w:rPr>
      </w:pPr>
      <w:r w:rsidRPr="009857B0">
        <w:rPr>
          <w:rFonts w:ascii="Calibri" w:eastAsia="Calibri" w:hAnsi="Calibri" w:cs="Times New Roman"/>
          <w:i/>
          <w:iCs/>
          <w:noProof w:val="0"/>
          <w:kern w:val="2"/>
          <w:sz w:val="24"/>
          <w:szCs w:val="24"/>
          <w14:ligatures w14:val="standardContextual"/>
        </w:rPr>
        <w:t>Razgovoru (intervjuu) mogu pristupiti slijedeći/će  kandidati/kandidatkinje:</w:t>
      </w:r>
    </w:p>
    <w:p w14:paraId="550F9D28" w14:textId="77777777" w:rsidR="00FB699E" w:rsidRPr="009857B0" w:rsidRDefault="00FB699E" w:rsidP="009857B0">
      <w:pPr>
        <w:spacing w:after="160" w:line="259" w:lineRule="auto"/>
        <w:jc w:val="both"/>
        <w:rPr>
          <w:rFonts w:ascii="Calibri" w:eastAsia="Calibri" w:hAnsi="Calibri" w:cs="Times New Roman"/>
          <w:i/>
          <w:iCs/>
          <w:noProof w:val="0"/>
          <w:kern w:val="2"/>
          <w:sz w:val="24"/>
          <w:szCs w:val="24"/>
          <w14:ligatures w14:val="standardContextual"/>
        </w:rPr>
      </w:pPr>
    </w:p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988"/>
        <w:gridCol w:w="4252"/>
        <w:gridCol w:w="3827"/>
      </w:tblGrid>
      <w:tr w:rsidR="009857B0" w:rsidRPr="009857B0" w14:paraId="0DD6CB74" w14:textId="77777777" w:rsidTr="003A7E26">
        <w:tc>
          <w:tcPr>
            <w:tcW w:w="988" w:type="dxa"/>
          </w:tcPr>
          <w:p w14:paraId="3FAFC592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REDNI BROJ</w:t>
            </w:r>
          </w:p>
        </w:tc>
        <w:tc>
          <w:tcPr>
            <w:tcW w:w="4252" w:type="dxa"/>
          </w:tcPr>
          <w:p w14:paraId="553B5B03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KANDIDAT/KANDIDATKINJA</w:t>
            </w:r>
          </w:p>
        </w:tc>
        <w:tc>
          <w:tcPr>
            <w:tcW w:w="3827" w:type="dxa"/>
          </w:tcPr>
          <w:p w14:paraId="611F6E49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DATUM ROĐENJA</w:t>
            </w:r>
          </w:p>
        </w:tc>
      </w:tr>
      <w:tr w:rsidR="009857B0" w:rsidRPr="009857B0" w14:paraId="0288E06C" w14:textId="77777777" w:rsidTr="003A7E26">
        <w:tc>
          <w:tcPr>
            <w:tcW w:w="988" w:type="dxa"/>
          </w:tcPr>
          <w:p w14:paraId="0447C7F5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50CEB8ED" w14:textId="554ED021" w:rsidR="009857B0" w:rsidRPr="00FB699E" w:rsidRDefault="00C35515" w:rsidP="00FB699E">
            <w:r>
              <w:t>B.C.</w:t>
            </w:r>
          </w:p>
        </w:tc>
        <w:tc>
          <w:tcPr>
            <w:tcW w:w="3827" w:type="dxa"/>
          </w:tcPr>
          <w:p w14:paraId="25993B69" w14:textId="54B83B2E" w:rsidR="009857B0" w:rsidRPr="00FB699E" w:rsidRDefault="004700B6" w:rsidP="004700B6">
            <w:pPr>
              <w:jc w:val="center"/>
            </w:pPr>
            <w:r>
              <w:t>14.12.1967.</w:t>
            </w:r>
          </w:p>
        </w:tc>
      </w:tr>
      <w:tr w:rsidR="009857B0" w:rsidRPr="009857B0" w14:paraId="718AB0A8" w14:textId="77777777" w:rsidTr="003A7E26">
        <w:tc>
          <w:tcPr>
            <w:tcW w:w="988" w:type="dxa"/>
          </w:tcPr>
          <w:p w14:paraId="58164854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69E1A817" w14:textId="7986AC9F" w:rsidR="009857B0" w:rsidRPr="00FB699E" w:rsidRDefault="00C35515" w:rsidP="00FB699E">
            <w:r>
              <w:t>S.M.</w:t>
            </w:r>
          </w:p>
        </w:tc>
        <w:tc>
          <w:tcPr>
            <w:tcW w:w="3827" w:type="dxa"/>
          </w:tcPr>
          <w:p w14:paraId="10FA6894" w14:textId="6FB1D6BE" w:rsidR="009857B0" w:rsidRPr="00FB699E" w:rsidRDefault="004700B6" w:rsidP="00C8309B">
            <w:pPr>
              <w:jc w:val="center"/>
            </w:pPr>
            <w:r>
              <w:t>19.12.</w:t>
            </w:r>
            <w:r w:rsidR="00C8309B">
              <w:t>1973.</w:t>
            </w:r>
          </w:p>
        </w:tc>
      </w:tr>
      <w:tr w:rsidR="009857B0" w:rsidRPr="009857B0" w14:paraId="31DCFFAF" w14:textId="77777777" w:rsidTr="003A7E26">
        <w:tc>
          <w:tcPr>
            <w:tcW w:w="988" w:type="dxa"/>
          </w:tcPr>
          <w:p w14:paraId="70A81464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7B2327CD" w14:textId="0165A4F1" w:rsidR="009857B0" w:rsidRPr="00FB699E" w:rsidRDefault="00C35515" w:rsidP="00FB699E">
            <w:r>
              <w:t>S.B.</w:t>
            </w:r>
          </w:p>
        </w:tc>
        <w:tc>
          <w:tcPr>
            <w:tcW w:w="3827" w:type="dxa"/>
          </w:tcPr>
          <w:p w14:paraId="0EBADDD5" w14:textId="05B2B009" w:rsidR="009857B0" w:rsidRPr="00FB699E" w:rsidRDefault="00C8309B" w:rsidP="00C8309B">
            <w:pPr>
              <w:jc w:val="center"/>
            </w:pPr>
            <w:r>
              <w:t>01.05.1991.</w:t>
            </w:r>
          </w:p>
        </w:tc>
      </w:tr>
      <w:tr w:rsidR="009857B0" w:rsidRPr="009857B0" w14:paraId="63A23CD4" w14:textId="77777777" w:rsidTr="003A7E26">
        <w:tc>
          <w:tcPr>
            <w:tcW w:w="988" w:type="dxa"/>
          </w:tcPr>
          <w:p w14:paraId="0649A51C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524FD00E" w14:textId="413A8A15" w:rsidR="009857B0" w:rsidRPr="00FB699E" w:rsidRDefault="00C35515" w:rsidP="00FB699E">
            <w:r>
              <w:t>Ž.J.</w:t>
            </w:r>
          </w:p>
        </w:tc>
        <w:tc>
          <w:tcPr>
            <w:tcW w:w="3827" w:type="dxa"/>
          </w:tcPr>
          <w:p w14:paraId="5AED7B5B" w14:textId="27A9EFE9" w:rsidR="009857B0" w:rsidRPr="00FB699E" w:rsidRDefault="00C8309B" w:rsidP="00C8309B">
            <w:pPr>
              <w:jc w:val="center"/>
            </w:pPr>
            <w:r>
              <w:t>15.01.1974.</w:t>
            </w:r>
          </w:p>
        </w:tc>
      </w:tr>
      <w:tr w:rsidR="009857B0" w:rsidRPr="009857B0" w14:paraId="1121D0DE" w14:textId="77777777" w:rsidTr="003A7E26">
        <w:tc>
          <w:tcPr>
            <w:tcW w:w="988" w:type="dxa"/>
          </w:tcPr>
          <w:p w14:paraId="62048AFF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63554DBF" w14:textId="41797CA4" w:rsidR="009857B0" w:rsidRPr="00FB699E" w:rsidRDefault="00C35515" w:rsidP="00FB699E">
            <w:r>
              <w:t>S.A.</w:t>
            </w:r>
          </w:p>
        </w:tc>
        <w:tc>
          <w:tcPr>
            <w:tcW w:w="3827" w:type="dxa"/>
          </w:tcPr>
          <w:p w14:paraId="5A9494EB" w14:textId="128C411B" w:rsidR="009857B0" w:rsidRPr="00FB699E" w:rsidRDefault="00C8309B" w:rsidP="00C8309B">
            <w:pPr>
              <w:jc w:val="center"/>
            </w:pPr>
            <w:r>
              <w:t>28.04.1994.</w:t>
            </w:r>
          </w:p>
        </w:tc>
      </w:tr>
      <w:tr w:rsidR="009857B0" w:rsidRPr="009857B0" w14:paraId="0B0B4E63" w14:textId="77777777" w:rsidTr="003A7E26">
        <w:tc>
          <w:tcPr>
            <w:tcW w:w="988" w:type="dxa"/>
          </w:tcPr>
          <w:p w14:paraId="595691CA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14:paraId="6923D49D" w14:textId="72F9F038" w:rsidR="009857B0" w:rsidRPr="00FB699E" w:rsidRDefault="00C35515" w:rsidP="00FB699E">
            <w:r>
              <w:t>A.L.</w:t>
            </w:r>
          </w:p>
        </w:tc>
        <w:tc>
          <w:tcPr>
            <w:tcW w:w="3827" w:type="dxa"/>
          </w:tcPr>
          <w:p w14:paraId="1EA069E6" w14:textId="469B3B43" w:rsidR="009857B0" w:rsidRPr="00FB699E" w:rsidRDefault="00C8309B" w:rsidP="00C8309B">
            <w:pPr>
              <w:jc w:val="center"/>
            </w:pPr>
            <w:r>
              <w:t>22.04.1969.</w:t>
            </w:r>
          </w:p>
        </w:tc>
      </w:tr>
      <w:tr w:rsidR="00FB699E" w:rsidRPr="009857B0" w14:paraId="40B6275E" w14:textId="77777777" w:rsidTr="003A7E26">
        <w:tc>
          <w:tcPr>
            <w:tcW w:w="988" w:type="dxa"/>
          </w:tcPr>
          <w:p w14:paraId="72C790A7" w14:textId="5567E301" w:rsidR="00FB699E" w:rsidRPr="009857B0" w:rsidRDefault="00FB699E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 w:val="0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14:paraId="6D0556A5" w14:textId="592D9D17" w:rsidR="00FB699E" w:rsidRPr="00FB699E" w:rsidRDefault="00C35515" w:rsidP="00FB699E">
            <w:r>
              <w:t>M.K.</w:t>
            </w:r>
          </w:p>
        </w:tc>
        <w:tc>
          <w:tcPr>
            <w:tcW w:w="3827" w:type="dxa"/>
          </w:tcPr>
          <w:p w14:paraId="00D9DB13" w14:textId="64486AF4" w:rsidR="00FB699E" w:rsidRPr="00FB699E" w:rsidRDefault="00C8309B" w:rsidP="00C8309B">
            <w:pPr>
              <w:jc w:val="center"/>
            </w:pPr>
            <w:r>
              <w:t>02.01.1987.</w:t>
            </w:r>
          </w:p>
        </w:tc>
      </w:tr>
    </w:tbl>
    <w:p w14:paraId="1D847E8C" w14:textId="77777777" w:rsidR="00FB699E" w:rsidRDefault="00FB699E" w:rsidP="009857B0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7AFF61D1" w14:textId="77777777" w:rsidR="00FB699E" w:rsidRDefault="00FB699E" w:rsidP="009857B0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7CB5C732" w14:textId="7EF79440" w:rsidR="009857B0" w:rsidRDefault="009857B0" w:rsidP="009857B0">
      <w:pPr>
        <w:spacing w:after="160" w:line="259" w:lineRule="auto"/>
        <w:jc w:val="both"/>
        <w:rPr>
          <w:rFonts w:ascii="Calibri" w:eastAsia="Times New Roman" w:hAnsi="Calibri" w:cs="Times New Roman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>Kandidati/kandidatkinje koji/koje ne pristupe razgovoru (intervjuu) smatrat će se da su povukli/</w:t>
      </w:r>
      <w:proofErr w:type="spellStart"/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>le</w:t>
      </w:r>
      <w:proofErr w:type="spellEnd"/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 svoju prijavu.</w:t>
      </w:r>
      <w:r w:rsidRPr="009857B0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</w:t>
      </w:r>
    </w:p>
    <w:p w14:paraId="294B335A" w14:textId="77777777" w:rsidR="00FB699E" w:rsidRPr="009857B0" w:rsidRDefault="00FB699E" w:rsidP="009857B0">
      <w:pPr>
        <w:spacing w:after="160" w:line="259" w:lineRule="auto"/>
        <w:jc w:val="both"/>
        <w:rPr>
          <w:rFonts w:ascii="Calibri" w:eastAsia="Times New Roman" w:hAnsi="Calibri" w:cs="Times New Roman"/>
        </w:rPr>
      </w:pPr>
    </w:p>
    <w:p w14:paraId="1BD4E6FF" w14:textId="7BE5FF0C" w:rsidR="00D707B3" w:rsidRPr="009857B0" w:rsidRDefault="009857B0" w:rsidP="009857B0">
      <w:pPr>
        <w:spacing w:after="160" w:line="259" w:lineRule="auto"/>
        <w:jc w:val="right"/>
        <w:rPr>
          <w:rFonts w:ascii="Calibri" w:eastAsia="Times New Roman" w:hAnsi="Calibri" w:cs="Times New Roman"/>
        </w:rPr>
      </w:pPr>
      <w:r w:rsidRPr="009857B0">
        <w:rPr>
          <w:rFonts w:ascii="Calibri" w:eastAsia="Times New Roman" w:hAnsi="Calibri" w:cs="Times New Roman"/>
        </w:rPr>
        <w:t xml:space="preserve">  POVJERENSTVO ZA PROVEDBU OGLASA</w:t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0D7C7927" w:rsidR="00D707B3" w:rsidRPr="00FB699E" w:rsidRDefault="00693AB1" w:rsidP="00FB699E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 w:rsidRPr="00FB699E" w:rsidSect="009857B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180B5B"/>
    <w:rsid w:val="00275B0C"/>
    <w:rsid w:val="00347D72"/>
    <w:rsid w:val="003F65C1"/>
    <w:rsid w:val="004700B6"/>
    <w:rsid w:val="004A27C7"/>
    <w:rsid w:val="00575A03"/>
    <w:rsid w:val="00662F28"/>
    <w:rsid w:val="00693AB1"/>
    <w:rsid w:val="008A562A"/>
    <w:rsid w:val="008C5FE5"/>
    <w:rsid w:val="00922DDC"/>
    <w:rsid w:val="009857B0"/>
    <w:rsid w:val="00991FE3"/>
    <w:rsid w:val="009B7A12"/>
    <w:rsid w:val="00A836D0"/>
    <w:rsid w:val="00AC35DA"/>
    <w:rsid w:val="00B92D0F"/>
    <w:rsid w:val="00C00DA2"/>
    <w:rsid w:val="00C35515"/>
    <w:rsid w:val="00C8309B"/>
    <w:rsid w:val="00C9578C"/>
    <w:rsid w:val="00D707B3"/>
    <w:rsid w:val="00DC2F7E"/>
    <w:rsid w:val="00FB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9857B0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3</cp:revision>
  <cp:lastPrinted>2014-11-26T14:09:00Z</cp:lastPrinted>
  <dcterms:created xsi:type="dcterms:W3CDTF">2026-06-05T06:52:00Z</dcterms:created>
  <dcterms:modified xsi:type="dcterms:W3CDTF">2026-06-05T07:13:00Z</dcterms:modified>
</cp:coreProperties>
</file>