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D344" w14:textId="1B3D7F70" w:rsidR="006C66C7" w:rsidRPr="006C66C7" w:rsidRDefault="006C66C7" w:rsidP="006C66C7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6C66C7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                         </w:t>
      </w:r>
      <w:r w:rsidRPr="006C66C7">
        <w:rPr>
          <w:rFonts w:ascii="Arial" w:eastAsia="Times New Roman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63F2F603" wp14:editId="78B03711">
            <wp:extent cx="54102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33" cy="67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1F5" w14:textId="77777777" w:rsidR="006C66C7" w:rsidRPr="00730CCE" w:rsidRDefault="006C66C7" w:rsidP="006C66C7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730CCE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REPUBLIKA HRVATSKA </w:t>
      </w:r>
    </w:p>
    <w:p w14:paraId="3FFD0E11" w14:textId="77777777" w:rsidR="006C66C7" w:rsidRPr="00730CCE" w:rsidRDefault="006C66C7" w:rsidP="006C66C7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730CCE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BJELOVARSKO-BILOGORSKA ŽUPANIJA</w:t>
      </w:r>
    </w:p>
    <w:p w14:paraId="6A1188C0" w14:textId="49D4CEA0" w:rsidR="006C66C7" w:rsidRPr="00730CCE" w:rsidRDefault="006C66C7" w:rsidP="006C66C7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730CCE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    GRAD GAREŠNICA</w:t>
      </w:r>
    </w:p>
    <w:p w14:paraId="3DB82124" w14:textId="4C86B828" w:rsidR="006C66C7" w:rsidRPr="00730CCE" w:rsidRDefault="006C66C7" w:rsidP="006C66C7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pl-PL" w:eastAsia="hr-HR"/>
          <w14:ligatures w14:val="none"/>
        </w:rPr>
      </w:pPr>
      <w:r w:rsidRPr="00730CCE">
        <w:rPr>
          <w:rFonts w:eastAsia="Times New Roman" w:cstheme="minorHAnsi"/>
          <w:b/>
          <w:bCs/>
          <w:kern w:val="0"/>
          <w:sz w:val="24"/>
          <w:szCs w:val="24"/>
          <w:lang w:val="pl-PL" w:eastAsia="hr-HR"/>
          <w14:ligatures w14:val="none"/>
        </w:rPr>
        <w:t xml:space="preserve">                      </w:t>
      </w:r>
      <w:r w:rsidR="00355461" w:rsidRPr="00A07E47">
        <w:rPr>
          <w:rFonts w:cstheme="minorHAnsi"/>
          <w:b/>
          <w:bCs/>
          <w:color w:val="000000"/>
          <w:sz w:val="24"/>
          <w:szCs w:val="24"/>
        </w:rPr>
        <w:t>GRADONAČELNIK</w:t>
      </w:r>
    </w:p>
    <w:p w14:paraId="29610A26" w14:textId="77777777" w:rsidR="006C66C7" w:rsidRPr="006C66C7" w:rsidRDefault="006C66C7" w:rsidP="006C66C7">
      <w:pPr>
        <w:spacing w:after="0" w:line="240" w:lineRule="auto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0ACF2EB2" w14:textId="2D16D267" w:rsidR="006C66C7" w:rsidRPr="00F67CAC" w:rsidRDefault="006C66C7" w:rsidP="006C66C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67CAC">
        <w:rPr>
          <w:rFonts w:eastAsia="Times New Roman" w:cstheme="minorHAnsi"/>
          <w:kern w:val="0"/>
          <w:sz w:val="24"/>
          <w:szCs w:val="24"/>
          <w14:ligatures w14:val="none"/>
        </w:rPr>
        <w:t xml:space="preserve">KLASA: </w:t>
      </w:r>
      <w:r w:rsidR="00277A5C">
        <w:rPr>
          <w:rFonts w:eastAsia="Times New Roman" w:cstheme="minorHAnsi"/>
          <w:kern w:val="0"/>
          <w:sz w:val="24"/>
          <w:szCs w:val="24"/>
          <w14:ligatures w14:val="none"/>
        </w:rPr>
        <w:t>230-01/25-01/3</w:t>
      </w:r>
    </w:p>
    <w:p w14:paraId="493F22CD" w14:textId="175242AE" w:rsidR="006C66C7" w:rsidRPr="00F67CAC" w:rsidRDefault="006C66C7" w:rsidP="006C66C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67CAC">
        <w:rPr>
          <w:rFonts w:eastAsia="Times New Roman" w:cstheme="minorHAnsi"/>
          <w:kern w:val="0"/>
          <w:sz w:val="24"/>
          <w:szCs w:val="24"/>
          <w14:ligatures w14:val="none"/>
        </w:rPr>
        <w:t xml:space="preserve">URBROJ: </w:t>
      </w:r>
      <w:r w:rsidR="00BC6BC4" w:rsidRPr="00F67CAC">
        <w:rPr>
          <w:rFonts w:eastAsia="Times New Roman" w:cstheme="minorHAnsi"/>
          <w:kern w:val="0"/>
          <w:sz w:val="24"/>
          <w:szCs w:val="24"/>
          <w14:ligatures w14:val="none"/>
        </w:rPr>
        <w:t>2103-4-02-</w:t>
      </w:r>
      <w:r w:rsidR="00730CCE" w:rsidRPr="00F67CAC">
        <w:rPr>
          <w:rFonts w:eastAsia="Times New Roman" w:cstheme="minorHAnsi"/>
          <w:kern w:val="0"/>
          <w:sz w:val="24"/>
          <w:szCs w:val="24"/>
          <w14:ligatures w14:val="none"/>
        </w:rPr>
        <w:t>25</w:t>
      </w:r>
      <w:r w:rsidR="00BC6BC4" w:rsidRPr="00F67CAC">
        <w:rPr>
          <w:rFonts w:eastAsia="Times New Roman" w:cstheme="minorHAnsi"/>
          <w:kern w:val="0"/>
          <w:sz w:val="24"/>
          <w:szCs w:val="24"/>
          <w14:ligatures w14:val="none"/>
        </w:rPr>
        <w:t>-1</w:t>
      </w:r>
    </w:p>
    <w:p w14:paraId="1626FEE6" w14:textId="7323079E" w:rsidR="006C66C7" w:rsidRPr="00730CCE" w:rsidRDefault="006C66C7" w:rsidP="006C66C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67CAC">
        <w:rPr>
          <w:rFonts w:eastAsia="Times New Roman" w:cstheme="minorHAnsi"/>
          <w:kern w:val="0"/>
          <w:sz w:val="24"/>
          <w:szCs w:val="24"/>
          <w14:ligatures w14:val="none"/>
        </w:rPr>
        <w:t>Garešnica,</w:t>
      </w:r>
      <w:r w:rsidR="0024168E" w:rsidRPr="00F67CA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92C26" w:rsidRPr="00D17EC4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2</w:t>
      </w:r>
      <w:r w:rsidR="00AE61A8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5</w:t>
      </w:r>
      <w:r w:rsidR="00F92C26" w:rsidRPr="00F67CAC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  <w:r w:rsidR="00355461" w:rsidRPr="00F67CAC">
        <w:rPr>
          <w:rFonts w:eastAsia="Times New Roman" w:cstheme="minorHAnsi"/>
          <w:kern w:val="0"/>
          <w:sz w:val="24"/>
          <w:szCs w:val="24"/>
          <w14:ligatures w14:val="none"/>
        </w:rPr>
        <w:t>11.</w:t>
      </w:r>
      <w:r w:rsidR="00F92C26" w:rsidRPr="00F67CAC">
        <w:rPr>
          <w:rFonts w:eastAsia="Times New Roman" w:cstheme="minorHAnsi"/>
          <w:kern w:val="0"/>
          <w:sz w:val="24"/>
          <w:szCs w:val="24"/>
          <w14:ligatures w14:val="none"/>
        </w:rPr>
        <w:t xml:space="preserve">2025. </w:t>
      </w:r>
    </w:p>
    <w:p w14:paraId="2AC1BC93" w14:textId="77777777" w:rsidR="006C66C7" w:rsidRDefault="006C66C7" w:rsidP="006C66C7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3237CDCA" w14:textId="77777777" w:rsidR="008E7588" w:rsidRPr="00730CCE" w:rsidRDefault="008E7588" w:rsidP="006C66C7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6BCC81F5" w14:textId="0D6BBA2F" w:rsidR="00730CCE" w:rsidRDefault="006C66C7" w:rsidP="00730CCE">
      <w:pPr>
        <w:spacing w:after="0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730CCE">
        <w:rPr>
          <w:rFonts w:cstheme="minorHAnsi"/>
          <w:kern w:val="0"/>
          <w:sz w:val="24"/>
          <w:szCs w:val="24"/>
          <w14:ligatures w14:val="none"/>
        </w:rPr>
        <w:t>Na</w:t>
      </w:r>
      <w:r w:rsidRPr="00730CCE">
        <w:rPr>
          <w:rFonts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730CCE">
        <w:rPr>
          <w:rFonts w:cstheme="minorHAnsi"/>
          <w:kern w:val="0"/>
          <w:sz w:val="24"/>
          <w:szCs w:val="24"/>
          <w14:ligatures w14:val="none"/>
        </w:rPr>
        <w:t>temelju</w:t>
      </w:r>
      <w:r w:rsidRPr="00730CCE">
        <w:rPr>
          <w:rFonts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730CCE">
        <w:rPr>
          <w:rFonts w:cstheme="minorHAnsi"/>
          <w:kern w:val="0"/>
          <w:sz w:val="24"/>
          <w:szCs w:val="24"/>
          <w14:ligatures w14:val="none"/>
        </w:rPr>
        <w:t>članka 53</w:t>
      </w:r>
      <w:r w:rsidR="00730CCE" w:rsidRPr="00730CCE">
        <w:rPr>
          <w:rFonts w:cstheme="minorHAnsi"/>
          <w:kern w:val="0"/>
          <w:sz w:val="24"/>
          <w:szCs w:val="24"/>
          <w14:ligatures w14:val="none"/>
        </w:rPr>
        <w:t>.</w:t>
      </w:r>
      <w:r w:rsidRPr="00730CCE">
        <w:rPr>
          <w:rFonts w:cstheme="minorHAnsi"/>
          <w:kern w:val="0"/>
          <w:sz w:val="24"/>
          <w:szCs w:val="24"/>
          <w14:ligatures w14:val="none"/>
        </w:rPr>
        <w:t xml:space="preserve"> Statuta Grada Garešnice („Službeni glasnik</w:t>
      </w:r>
      <w:r w:rsidR="00730CCE" w:rsidRPr="00730CCE">
        <w:rPr>
          <w:rFonts w:cstheme="minorHAnsi"/>
          <w:kern w:val="0"/>
          <w:sz w:val="24"/>
          <w:szCs w:val="24"/>
          <w14:ligatures w14:val="none"/>
        </w:rPr>
        <w:t xml:space="preserve"> Grada Garešnice</w:t>
      </w:r>
      <w:r w:rsidRPr="00730CCE">
        <w:rPr>
          <w:rFonts w:cstheme="minorHAnsi"/>
          <w:kern w:val="0"/>
          <w:sz w:val="24"/>
          <w:szCs w:val="24"/>
          <w14:ligatures w14:val="none"/>
        </w:rPr>
        <w:t>“, broj</w:t>
      </w:r>
      <w:r w:rsidR="00311207">
        <w:rPr>
          <w:rFonts w:cstheme="minorHAnsi"/>
          <w:kern w:val="0"/>
          <w:sz w:val="24"/>
          <w:szCs w:val="24"/>
          <w14:ligatures w14:val="none"/>
        </w:rPr>
        <w:t>:</w:t>
      </w:r>
      <w:r w:rsidRPr="00730CCE">
        <w:rPr>
          <w:rFonts w:cstheme="minorHAnsi"/>
          <w:kern w:val="0"/>
          <w:sz w:val="24"/>
          <w:szCs w:val="24"/>
          <w14:ligatures w14:val="none"/>
        </w:rPr>
        <w:t xml:space="preserve"> 2/21</w:t>
      </w:r>
      <w:r w:rsidR="00730CCE" w:rsidRPr="00730CCE">
        <w:rPr>
          <w:rFonts w:cstheme="minorHAnsi"/>
          <w:kern w:val="0"/>
          <w:sz w:val="24"/>
          <w:szCs w:val="24"/>
          <w14:ligatures w14:val="none"/>
        </w:rPr>
        <w:t xml:space="preserve"> i 3/25</w:t>
      </w:r>
      <w:r w:rsidRPr="00730CCE">
        <w:rPr>
          <w:rFonts w:cstheme="minorHAnsi"/>
          <w:kern w:val="0"/>
          <w:sz w:val="24"/>
          <w:szCs w:val="24"/>
          <w14:ligatures w14:val="none"/>
        </w:rPr>
        <w:t>), te članka 21. Pravilnika o financiranju javih potreba Grada Garešnice</w:t>
      </w:r>
      <w:r w:rsidR="00730CCE" w:rsidRPr="00730CCE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730CCE">
        <w:rPr>
          <w:rFonts w:cstheme="minorHAnsi"/>
          <w:kern w:val="0"/>
          <w:sz w:val="24"/>
          <w:szCs w:val="24"/>
          <w14:ligatures w14:val="none"/>
        </w:rPr>
        <w:t>(„Službeni glasnik Grada Garešnice</w:t>
      </w:r>
      <w:r w:rsidR="00730CCE" w:rsidRPr="00730CCE">
        <w:rPr>
          <w:rFonts w:cstheme="minorHAnsi"/>
          <w:kern w:val="0"/>
          <w:sz w:val="24"/>
          <w:szCs w:val="24"/>
          <w14:ligatures w14:val="none"/>
        </w:rPr>
        <w:t>“,</w:t>
      </w:r>
      <w:r w:rsidRPr="00730CCE">
        <w:rPr>
          <w:rFonts w:cstheme="minorHAnsi"/>
          <w:kern w:val="0"/>
          <w:sz w:val="24"/>
          <w:szCs w:val="24"/>
          <w14:ligatures w14:val="none"/>
        </w:rPr>
        <w:t xml:space="preserve"> br</w:t>
      </w:r>
      <w:r w:rsidR="00730CCE" w:rsidRPr="00730CCE">
        <w:rPr>
          <w:rFonts w:cstheme="minorHAnsi"/>
          <w:kern w:val="0"/>
          <w:sz w:val="24"/>
          <w:szCs w:val="24"/>
          <w14:ligatures w14:val="none"/>
        </w:rPr>
        <w:t>oj</w:t>
      </w:r>
      <w:r w:rsidR="00311207">
        <w:rPr>
          <w:rFonts w:cstheme="minorHAnsi"/>
          <w:kern w:val="0"/>
          <w:sz w:val="24"/>
          <w:szCs w:val="24"/>
          <w14:ligatures w14:val="none"/>
        </w:rPr>
        <w:t>:</w:t>
      </w:r>
      <w:r w:rsidRPr="00730CCE">
        <w:rPr>
          <w:rFonts w:cstheme="minorHAnsi"/>
          <w:kern w:val="0"/>
          <w:sz w:val="24"/>
          <w:szCs w:val="24"/>
          <w14:ligatures w14:val="none"/>
        </w:rPr>
        <w:t xml:space="preserve"> 2/16 i 5/21) gradonačelnik Grada Garešnice, dana </w:t>
      </w:r>
      <w:r w:rsidR="006A51D2" w:rsidRPr="00D17EC4">
        <w:rPr>
          <w:rFonts w:cstheme="minorHAnsi"/>
          <w:color w:val="000000" w:themeColor="text1"/>
          <w:kern w:val="0"/>
          <w:sz w:val="24"/>
          <w:szCs w:val="24"/>
          <w14:ligatures w14:val="none"/>
        </w:rPr>
        <w:t>2</w:t>
      </w:r>
      <w:r w:rsidR="00FB2447">
        <w:rPr>
          <w:rFonts w:cstheme="minorHAnsi"/>
          <w:color w:val="000000" w:themeColor="text1"/>
          <w:kern w:val="0"/>
          <w:sz w:val="24"/>
          <w:szCs w:val="24"/>
          <w14:ligatures w14:val="none"/>
        </w:rPr>
        <w:t>5</w:t>
      </w:r>
      <w:r w:rsidR="0024168E" w:rsidRPr="00F67CAC">
        <w:rPr>
          <w:rFonts w:cstheme="minorHAnsi"/>
          <w:kern w:val="0"/>
          <w:sz w:val="24"/>
          <w:szCs w:val="24"/>
          <w14:ligatures w14:val="none"/>
        </w:rPr>
        <w:t>.</w:t>
      </w:r>
      <w:r w:rsidR="00BC3F24" w:rsidRPr="00F67CAC">
        <w:rPr>
          <w:rFonts w:cstheme="minorHAnsi"/>
          <w:kern w:val="0"/>
          <w:sz w:val="24"/>
          <w:szCs w:val="24"/>
          <w14:ligatures w14:val="none"/>
        </w:rPr>
        <w:t xml:space="preserve"> studenog</w:t>
      </w:r>
      <w:r w:rsidR="0024168E" w:rsidRPr="00F67CA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F67CAC">
        <w:rPr>
          <w:rFonts w:cstheme="minorHAnsi"/>
          <w:kern w:val="0"/>
          <w:sz w:val="24"/>
          <w:szCs w:val="24"/>
          <w14:ligatures w14:val="none"/>
        </w:rPr>
        <w:t>202</w:t>
      </w:r>
      <w:r w:rsidR="00BC3F24" w:rsidRPr="00F67CAC">
        <w:rPr>
          <w:rFonts w:cstheme="minorHAnsi"/>
          <w:kern w:val="0"/>
          <w:sz w:val="24"/>
          <w:szCs w:val="24"/>
          <w14:ligatures w14:val="none"/>
        </w:rPr>
        <w:t>5</w:t>
      </w:r>
      <w:r w:rsidRPr="00F67CAC">
        <w:rPr>
          <w:rFonts w:cstheme="minorHAnsi"/>
          <w:kern w:val="0"/>
          <w:sz w:val="24"/>
          <w:szCs w:val="24"/>
          <w14:ligatures w14:val="none"/>
        </w:rPr>
        <w:t>. godine, donosi</w:t>
      </w:r>
    </w:p>
    <w:p w14:paraId="658DBCEB" w14:textId="77777777" w:rsidR="00730CCE" w:rsidRPr="00730CCE" w:rsidRDefault="00730CCE" w:rsidP="00730CCE">
      <w:pPr>
        <w:spacing w:after="0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74A6B5C1" w14:textId="77777777" w:rsidR="006C66C7" w:rsidRPr="00730CCE" w:rsidRDefault="006C66C7" w:rsidP="006C66C7">
      <w:pPr>
        <w:widowControl w:val="0"/>
        <w:autoSpaceDE w:val="0"/>
        <w:autoSpaceDN w:val="0"/>
        <w:spacing w:before="80" w:after="0" w:line="240" w:lineRule="auto"/>
        <w:ind w:left="187" w:right="108" w:firstLine="411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ODLUKU</w:t>
      </w:r>
    </w:p>
    <w:p w14:paraId="3A9792A4" w14:textId="4B06561C" w:rsidR="006C66C7" w:rsidRDefault="006C66C7" w:rsidP="00311207">
      <w:pPr>
        <w:widowControl w:val="0"/>
        <w:autoSpaceDE w:val="0"/>
        <w:autoSpaceDN w:val="0"/>
        <w:spacing w:after="0" w:line="240" w:lineRule="auto"/>
        <w:ind w:left="187" w:right="108" w:firstLine="408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 xml:space="preserve">o imenovanju Povjerenstva za provjeru ispunjavanja propisanih (administrativnih) </w:t>
      </w:r>
      <w:r w:rsidR="00311207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br/>
        <w:t xml:space="preserve">  </w:t>
      </w:r>
      <w:r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uvjeta prijavljenih programa, projekata, aktivnosti i manifestacija koje se financiraju iz Proračuna Grada Garešnice za 202</w:t>
      </w:r>
      <w:r w:rsid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6</w:t>
      </w:r>
      <w:r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. godinu</w:t>
      </w:r>
    </w:p>
    <w:p w14:paraId="63E17C36" w14:textId="77777777" w:rsidR="006C66C7" w:rsidRPr="00730CCE" w:rsidRDefault="006C66C7" w:rsidP="00730CCE">
      <w:pPr>
        <w:widowControl w:val="0"/>
        <w:autoSpaceDE w:val="0"/>
        <w:autoSpaceDN w:val="0"/>
        <w:spacing w:after="0" w:line="240" w:lineRule="auto"/>
        <w:ind w:right="108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</w:p>
    <w:p w14:paraId="5464F71A" w14:textId="3109DB42" w:rsidR="00730CCE" w:rsidRDefault="006C66C7" w:rsidP="00F92C26">
      <w:pPr>
        <w:widowControl w:val="0"/>
        <w:autoSpaceDE w:val="0"/>
        <w:autoSpaceDN w:val="0"/>
        <w:spacing w:after="0" w:line="240" w:lineRule="auto"/>
        <w:ind w:left="187" w:right="108" w:firstLine="408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Članak 1.</w:t>
      </w:r>
    </w:p>
    <w:p w14:paraId="36A1D197" w14:textId="77777777" w:rsidR="00F92C26" w:rsidRPr="00730CCE" w:rsidRDefault="00F92C26" w:rsidP="00F92C26">
      <w:pPr>
        <w:widowControl w:val="0"/>
        <w:autoSpaceDE w:val="0"/>
        <w:autoSpaceDN w:val="0"/>
        <w:spacing w:after="0" w:line="240" w:lineRule="auto"/>
        <w:ind w:left="187" w:right="108" w:firstLine="408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</w:p>
    <w:p w14:paraId="332535AB" w14:textId="5DB62476" w:rsidR="006C66C7" w:rsidRDefault="006C66C7" w:rsidP="00F92C26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Osniva se Povjerenstvo za provjeru ispunjavanja propisanih (administrativnih) uvjeta prijavljenih programa, projekata, aktivnosti i manifestacija koje se financiraju iz Proračuna Grada Garešnice za 202</w:t>
      </w:r>
      <w:r w:rsidR="0010085E" w:rsidRPr="00730CCE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6</w:t>
      </w:r>
      <w:r w:rsidRPr="00730CCE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. godinu (u daljem tekstu: Povjerenstvo), kao radno tijelo Grada Garešnice.</w:t>
      </w:r>
    </w:p>
    <w:p w14:paraId="1737E840" w14:textId="77777777" w:rsidR="008E7588" w:rsidRPr="00730CCE" w:rsidRDefault="008E7588" w:rsidP="00F92C26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</w:p>
    <w:p w14:paraId="5D20CAB0" w14:textId="622D3CA1" w:rsidR="00730CCE" w:rsidRDefault="006C66C7" w:rsidP="00F92C26">
      <w:pPr>
        <w:widowControl w:val="0"/>
        <w:autoSpaceDE w:val="0"/>
        <w:autoSpaceDN w:val="0"/>
        <w:spacing w:after="0" w:line="240" w:lineRule="auto"/>
        <w:ind w:left="187" w:right="108" w:firstLine="411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Članak 2.</w:t>
      </w:r>
    </w:p>
    <w:p w14:paraId="04254480" w14:textId="77777777" w:rsidR="00F92C26" w:rsidRPr="00730CCE" w:rsidRDefault="00F92C26" w:rsidP="00F92C26">
      <w:pPr>
        <w:widowControl w:val="0"/>
        <w:autoSpaceDE w:val="0"/>
        <w:autoSpaceDN w:val="0"/>
        <w:spacing w:after="0" w:line="240" w:lineRule="auto"/>
        <w:ind w:left="187" w:right="108" w:firstLine="411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</w:p>
    <w:p w14:paraId="5814D113" w14:textId="606993C9" w:rsidR="006C66C7" w:rsidRPr="00730CCE" w:rsidRDefault="006C66C7" w:rsidP="00F92C26">
      <w:pPr>
        <w:widowControl w:val="0"/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Povjerenstvo iz točke 1. Ove Odluke sastoji se od tri člana.</w:t>
      </w:r>
    </w:p>
    <w:p w14:paraId="2AC89EA5" w14:textId="40688A9E" w:rsidR="00C54A5A" w:rsidRDefault="006C66C7" w:rsidP="00730CCE">
      <w:pPr>
        <w:widowControl w:val="0"/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Predsjednik Povjerenstva će biti izabran između članova istoga.</w:t>
      </w:r>
    </w:p>
    <w:p w14:paraId="443F5336" w14:textId="733BDC24" w:rsidR="00F92C26" w:rsidRDefault="00F92C26" w:rsidP="00F92C26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Povjerenstvo evidentira zaprimljene prijave i provjerava ispunjavanje propisanih (administrativnih) uvjeta natječaja.</w:t>
      </w:r>
    </w:p>
    <w:p w14:paraId="1D5A8BD1" w14:textId="77777777" w:rsidR="00C54A5A" w:rsidRPr="00730CCE" w:rsidRDefault="00C54A5A" w:rsidP="00C54A5A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4874C376" w14:textId="077D386C" w:rsidR="006C66C7" w:rsidRDefault="006C66C7" w:rsidP="00F92C26">
      <w:pPr>
        <w:widowControl w:val="0"/>
        <w:autoSpaceDE w:val="0"/>
        <w:autoSpaceDN w:val="0"/>
        <w:spacing w:after="0" w:line="240" w:lineRule="auto"/>
        <w:ind w:left="187" w:right="108" w:firstLine="411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Članak 3.</w:t>
      </w:r>
    </w:p>
    <w:p w14:paraId="0595C032" w14:textId="77777777" w:rsidR="00730CCE" w:rsidRPr="00730CCE" w:rsidRDefault="00730CCE" w:rsidP="00F92C26">
      <w:pPr>
        <w:widowControl w:val="0"/>
        <w:autoSpaceDE w:val="0"/>
        <w:autoSpaceDN w:val="0"/>
        <w:spacing w:after="0" w:line="240" w:lineRule="auto"/>
        <w:ind w:left="187" w:right="108" w:firstLine="411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</w:p>
    <w:p w14:paraId="12F0CA79" w14:textId="3C6363F7" w:rsidR="006C66C7" w:rsidRPr="00D17EC4" w:rsidRDefault="006C66C7" w:rsidP="00F92C26">
      <w:pPr>
        <w:widowControl w:val="0"/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 w:rsidRPr="00D17EC4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U Povjerenstvo se imenuju:</w:t>
      </w:r>
    </w:p>
    <w:p w14:paraId="22CF0663" w14:textId="44A5B4C1" w:rsidR="006C66C7" w:rsidRPr="00D17EC4" w:rsidRDefault="00BC3F24" w:rsidP="00730CC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 w:rsidRPr="00D17EC4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Oliver Bahnik</w:t>
      </w:r>
      <w:r w:rsidR="006C66C7" w:rsidRPr="00D17EC4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, predsjedni</w:t>
      </w:r>
      <w:r w:rsidR="000454E5" w:rsidRPr="00D17EC4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k</w:t>
      </w:r>
    </w:p>
    <w:p w14:paraId="7B34D9E8" w14:textId="6CAED890" w:rsidR="006C66C7" w:rsidRPr="00D17EC4" w:rsidRDefault="00B62255" w:rsidP="00730CC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 w:rsidRPr="00D17EC4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I</w:t>
      </w:r>
      <w:r w:rsidR="00BC3F24" w:rsidRPr="00D17EC4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vana Burić</w:t>
      </w:r>
      <w:r w:rsidR="006C66C7" w:rsidRPr="00D17EC4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, član</w:t>
      </w:r>
    </w:p>
    <w:p w14:paraId="2117FDA2" w14:textId="3C7C8812" w:rsidR="00730CCE" w:rsidRPr="00D17EC4" w:rsidRDefault="00D17EC4" w:rsidP="00730CC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Irena Musić</w:t>
      </w:r>
      <w:r w:rsidR="006C66C7" w:rsidRPr="00D17EC4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, član</w:t>
      </w:r>
    </w:p>
    <w:p w14:paraId="1E458B40" w14:textId="77777777" w:rsidR="00F92C26" w:rsidRPr="00D17EC4" w:rsidRDefault="00F92C26" w:rsidP="00F92C26">
      <w:pPr>
        <w:widowControl w:val="0"/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</w:p>
    <w:p w14:paraId="038833EC" w14:textId="77777777" w:rsidR="008E7588" w:rsidRDefault="008E7588" w:rsidP="00F92C26">
      <w:pPr>
        <w:widowControl w:val="0"/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highlight w:val="yellow"/>
          <w:lang w:val="bs"/>
          <w14:ligatures w14:val="none"/>
        </w:rPr>
      </w:pPr>
    </w:p>
    <w:p w14:paraId="096931A8" w14:textId="77777777" w:rsidR="008E7588" w:rsidRPr="00730CCE" w:rsidRDefault="008E7588" w:rsidP="00F92C26">
      <w:pPr>
        <w:widowControl w:val="0"/>
        <w:autoSpaceDE w:val="0"/>
        <w:autoSpaceDN w:val="0"/>
        <w:spacing w:after="0" w:line="240" w:lineRule="auto"/>
        <w:ind w:right="108"/>
        <w:rPr>
          <w:rFonts w:eastAsia="Book Antiqua" w:cstheme="minorHAnsi"/>
          <w:kern w:val="0"/>
          <w:sz w:val="24"/>
          <w:szCs w:val="24"/>
          <w:highlight w:val="yellow"/>
          <w:lang w:val="bs"/>
          <w14:ligatures w14:val="none"/>
        </w:rPr>
      </w:pPr>
    </w:p>
    <w:p w14:paraId="19DFCFE1" w14:textId="56D596D9" w:rsidR="00F92C26" w:rsidRDefault="0024168E" w:rsidP="008E7588">
      <w:pPr>
        <w:widowControl w:val="0"/>
        <w:autoSpaceDE w:val="0"/>
        <w:autoSpaceDN w:val="0"/>
        <w:spacing w:before="80" w:after="0" w:line="240" w:lineRule="auto"/>
        <w:ind w:right="108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lastRenderedPageBreak/>
        <w:t xml:space="preserve">              </w:t>
      </w:r>
      <w:r w:rsidR="006C66C7" w:rsidRPr="00730CCE"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Članak 4.</w:t>
      </w:r>
    </w:p>
    <w:p w14:paraId="7CBED2E5" w14:textId="77777777" w:rsidR="008E7588" w:rsidRDefault="008E7588" w:rsidP="008E7588">
      <w:pPr>
        <w:widowControl w:val="0"/>
        <w:autoSpaceDE w:val="0"/>
        <w:autoSpaceDN w:val="0"/>
        <w:spacing w:before="80" w:after="0" w:line="240" w:lineRule="auto"/>
        <w:ind w:right="108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</w:p>
    <w:p w14:paraId="1CDC6F00" w14:textId="77777777" w:rsidR="00F92C26" w:rsidRPr="00730CCE" w:rsidRDefault="00F92C26" w:rsidP="00F92C26">
      <w:pPr>
        <w:spacing w:after="0" w:line="240" w:lineRule="auto"/>
        <w:jc w:val="both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Zadaća svakog člana Povjerenstva je da:</w:t>
      </w:r>
    </w:p>
    <w:p w14:paraId="4F9B1D54" w14:textId="77777777" w:rsidR="00F92C26" w:rsidRPr="00730CCE" w:rsidRDefault="00F92C26" w:rsidP="00F92C26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730CCE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- potpiše izjavu o nepristranosti i povjerljivosti;</w:t>
      </w:r>
    </w:p>
    <w:p w14:paraId="0CC1008D" w14:textId="77777777" w:rsidR="00F92C26" w:rsidRPr="00730CCE" w:rsidRDefault="00F92C26" w:rsidP="00F92C26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730CCE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- zaprimanje i registracija projektnih prijava;</w:t>
      </w:r>
    </w:p>
    <w:p w14:paraId="633EDD50" w14:textId="77777777" w:rsidR="00F92C26" w:rsidRPr="00730CCE" w:rsidRDefault="00F92C26" w:rsidP="00F92C26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730CCE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- provjera propisanih uvjeta natječaja (administrativna provjera);</w:t>
      </w:r>
    </w:p>
    <w:p w14:paraId="7DBD39D3" w14:textId="77777777" w:rsidR="00F92C26" w:rsidRPr="00730CCE" w:rsidRDefault="00F92C26" w:rsidP="00F92C26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730CCE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- pisana obavijest prijaviteljima nakon provjere propisanih uvjeta.</w:t>
      </w:r>
    </w:p>
    <w:p w14:paraId="5D68E9C1" w14:textId="77777777" w:rsidR="00F92C26" w:rsidRDefault="00F92C26" w:rsidP="0024168E">
      <w:pPr>
        <w:widowControl w:val="0"/>
        <w:autoSpaceDE w:val="0"/>
        <w:autoSpaceDN w:val="0"/>
        <w:spacing w:before="80" w:after="0" w:line="240" w:lineRule="auto"/>
        <w:ind w:right="108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</w:p>
    <w:p w14:paraId="5C347001" w14:textId="380EC58E" w:rsidR="00730CCE" w:rsidRDefault="00F92C26" w:rsidP="0024168E">
      <w:pPr>
        <w:widowControl w:val="0"/>
        <w:autoSpaceDE w:val="0"/>
        <w:autoSpaceDN w:val="0"/>
        <w:spacing w:before="80" w:after="0" w:line="240" w:lineRule="auto"/>
        <w:ind w:right="108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  <w:r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  <w:t>Članak 5.</w:t>
      </w:r>
    </w:p>
    <w:p w14:paraId="6D4D72F3" w14:textId="77777777" w:rsidR="00F92C26" w:rsidRPr="00730CCE" w:rsidRDefault="00F92C26" w:rsidP="0024168E">
      <w:pPr>
        <w:widowControl w:val="0"/>
        <w:autoSpaceDE w:val="0"/>
        <w:autoSpaceDN w:val="0"/>
        <w:spacing w:before="80" w:after="0" w:line="240" w:lineRule="auto"/>
        <w:ind w:right="108"/>
        <w:jc w:val="center"/>
        <w:rPr>
          <w:rFonts w:eastAsia="Book Antiqua" w:cstheme="minorHAnsi"/>
          <w:b/>
          <w:bCs/>
          <w:kern w:val="0"/>
          <w:sz w:val="24"/>
          <w:szCs w:val="24"/>
          <w:lang w:val="bs"/>
          <w14:ligatures w14:val="none"/>
        </w:rPr>
      </w:pPr>
    </w:p>
    <w:p w14:paraId="6B825E79" w14:textId="03BD2F06" w:rsidR="006C66C7" w:rsidRPr="00730CCE" w:rsidRDefault="006C66C7" w:rsidP="006C66C7">
      <w:pPr>
        <w:widowControl w:val="0"/>
        <w:autoSpaceDE w:val="0"/>
        <w:autoSpaceDN w:val="0"/>
        <w:spacing w:before="80" w:after="0" w:line="240" w:lineRule="auto"/>
        <w:ind w:right="108"/>
        <w:jc w:val="both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  <w:r w:rsidRPr="00730CCE">
        <w:rPr>
          <w:rFonts w:eastAsia="Book Antiqua" w:cstheme="minorHAnsi"/>
          <w:kern w:val="0"/>
          <w:sz w:val="24"/>
          <w:szCs w:val="24"/>
          <w:lang w:val="bs"/>
          <w14:ligatures w14:val="none"/>
        </w:rPr>
        <w:t>Ova Odluka stupa na snagu danom donošenja, a objavit će se na službenoj stranici Grada Garešnice.</w:t>
      </w:r>
    </w:p>
    <w:p w14:paraId="4C71A153" w14:textId="77777777" w:rsidR="006C66C7" w:rsidRDefault="006C66C7" w:rsidP="006C66C7">
      <w:pPr>
        <w:widowControl w:val="0"/>
        <w:autoSpaceDE w:val="0"/>
        <w:autoSpaceDN w:val="0"/>
        <w:spacing w:before="80"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</w:p>
    <w:p w14:paraId="4E0279E3" w14:textId="77777777" w:rsidR="00F56035" w:rsidRPr="00730CCE" w:rsidRDefault="00F56035" w:rsidP="006C66C7">
      <w:pPr>
        <w:widowControl w:val="0"/>
        <w:autoSpaceDE w:val="0"/>
        <w:autoSpaceDN w:val="0"/>
        <w:spacing w:before="80" w:after="0" w:line="240" w:lineRule="auto"/>
        <w:ind w:right="108"/>
        <w:rPr>
          <w:rFonts w:eastAsia="Book Antiqua" w:cstheme="minorHAnsi"/>
          <w:kern w:val="0"/>
          <w:sz w:val="24"/>
          <w:szCs w:val="24"/>
          <w:lang w:val="bs"/>
          <w14:ligatures w14:val="non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66C7" w:rsidRPr="00730CCE" w14:paraId="4573911B" w14:textId="77777777" w:rsidTr="007332B7">
        <w:tc>
          <w:tcPr>
            <w:tcW w:w="4531" w:type="dxa"/>
          </w:tcPr>
          <w:p w14:paraId="3E46D2FB" w14:textId="77777777" w:rsidR="006C66C7" w:rsidRPr="00730CCE" w:rsidRDefault="006C66C7" w:rsidP="006C66C7">
            <w:pPr>
              <w:widowControl w:val="0"/>
              <w:autoSpaceDE w:val="0"/>
              <w:autoSpaceDN w:val="0"/>
              <w:spacing w:before="80"/>
              <w:ind w:right="108"/>
              <w:rPr>
                <w:rFonts w:eastAsia="Book Antiqua" w:cstheme="minorHAnsi"/>
                <w:b/>
                <w:bCs/>
                <w:sz w:val="24"/>
                <w:szCs w:val="24"/>
                <w:lang w:val="bs"/>
              </w:rPr>
            </w:pPr>
          </w:p>
        </w:tc>
        <w:tc>
          <w:tcPr>
            <w:tcW w:w="4531" w:type="dxa"/>
          </w:tcPr>
          <w:p w14:paraId="55D47ECF" w14:textId="55896882" w:rsidR="006C66C7" w:rsidRPr="00AE36A1" w:rsidRDefault="006C66C7" w:rsidP="00730CCE">
            <w:pPr>
              <w:widowControl w:val="0"/>
              <w:autoSpaceDE w:val="0"/>
              <w:autoSpaceDN w:val="0"/>
              <w:spacing w:before="80"/>
              <w:ind w:right="108"/>
              <w:jc w:val="center"/>
              <w:rPr>
                <w:rFonts w:eastAsia="Book Antiqua" w:cstheme="minorHAnsi"/>
                <w:sz w:val="24"/>
                <w:szCs w:val="24"/>
                <w:lang w:val="bs"/>
              </w:rPr>
            </w:pPr>
            <w:r w:rsidRPr="00AE36A1">
              <w:rPr>
                <w:rFonts w:eastAsia="Book Antiqua" w:cstheme="minorHAnsi"/>
                <w:sz w:val="24"/>
                <w:szCs w:val="24"/>
                <w:lang w:val="bs"/>
              </w:rPr>
              <w:t>GRADONAČELNIK</w:t>
            </w:r>
          </w:p>
          <w:p w14:paraId="5411AF01" w14:textId="205E67E1" w:rsidR="006C66C7" w:rsidRPr="00730CCE" w:rsidRDefault="00730CCE" w:rsidP="006C66C7">
            <w:pPr>
              <w:widowControl w:val="0"/>
              <w:autoSpaceDE w:val="0"/>
              <w:autoSpaceDN w:val="0"/>
              <w:spacing w:before="80"/>
              <w:ind w:right="108"/>
              <w:jc w:val="center"/>
              <w:rPr>
                <w:rFonts w:eastAsia="Book Antiqua" w:cstheme="minorHAnsi"/>
                <w:sz w:val="24"/>
                <w:szCs w:val="24"/>
                <w:lang w:val="bs"/>
              </w:rPr>
            </w:pPr>
            <w:r>
              <w:rPr>
                <w:rFonts w:eastAsia="Book Antiqua" w:cstheme="minorHAnsi"/>
                <w:sz w:val="24"/>
                <w:szCs w:val="24"/>
                <w:lang w:val="bs"/>
              </w:rPr>
              <w:t xml:space="preserve">   </w:t>
            </w:r>
            <w:r w:rsidR="006C66C7" w:rsidRPr="00730CCE">
              <w:rPr>
                <w:rFonts w:eastAsia="Book Antiqua" w:cstheme="minorHAnsi"/>
                <w:sz w:val="24"/>
                <w:szCs w:val="24"/>
                <w:lang w:val="bs"/>
              </w:rPr>
              <w:t>Josip Bilandžija, dipl.</w:t>
            </w:r>
            <w:r w:rsidR="00D0753F">
              <w:rPr>
                <w:rFonts w:eastAsia="Book Antiqua" w:cstheme="minorHAnsi"/>
                <w:sz w:val="24"/>
                <w:szCs w:val="24"/>
                <w:lang w:val="bs"/>
              </w:rPr>
              <w:t xml:space="preserve"> </w:t>
            </w:r>
            <w:r w:rsidR="006C66C7" w:rsidRPr="00730CCE">
              <w:rPr>
                <w:rFonts w:eastAsia="Book Antiqua" w:cstheme="minorHAnsi"/>
                <w:sz w:val="24"/>
                <w:szCs w:val="24"/>
                <w:lang w:val="bs"/>
              </w:rPr>
              <w:t>ing.</w:t>
            </w:r>
            <w:r w:rsidR="00D0753F">
              <w:rPr>
                <w:rFonts w:eastAsia="Book Antiqua" w:cstheme="minorHAnsi"/>
                <w:sz w:val="24"/>
                <w:szCs w:val="24"/>
                <w:lang w:val="bs"/>
              </w:rPr>
              <w:t xml:space="preserve"> </w:t>
            </w:r>
            <w:r w:rsidR="006C66C7" w:rsidRPr="00730CCE">
              <w:rPr>
                <w:rFonts w:eastAsia="Book Antiqua" w:cstheme="minorHAnsi"/>
                <w:sz w:val="24"/>
                <w:szCs w:val="24"/>
                <w:lang w:val="bs"/>
              </w:rPr>
              <w:t>šum.</w:t>
            </w:r>
          </w:p>
        </w:tc>
      </w:tr>
    </w:tbl>
    <w:p w14:paraId="3D08F386" w14:textId="77777777" w:rsidR="00507562" w:rsidRPr="00730CCE" w:rsidRDefault="00507562">
      <w:pPr>
        <w:rPr>
          <w:rFonts w:cstheme="minorHAnsi"/>
          <w:sz w:val="24"/>
          <w:szCs w:val="24"/>
        </w:rPr>
      </w:pPr>
    </w:p>
    <w:sectPr w:rsidR="00507562" w:rsidRPr="00730CCE" w:rsidSect="0073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BFA"/>
    <w:multiLevelType w:val="hybridMultilevel"/>
    <w:tmpl w:val="F60820BE"/>
    <w:lvl w:ilvl="0" w:tplc="03DEDD50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2B7"/>
    <w:multiLevelType w:val="hybridMultilevel"/>
    <w:tmpl w:val="1722B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9695">
    <w:abstractNumId w:val="1"/>
  </w:num>
  <w:num w:numId="2" w16cid:durableId="199498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0"/>
    <w:rsid w:val="000454E5"/>
    <w:rsid w:val="000709C5"/>
    <w:rsid w:val="00080C0A"/>
    <w:rsid w:val="0010085E"/>
    <w:rsid w:val="00171B3B"/>
    <w:rsid w:val="001C3EAD"/>
    <w:rsid w:val="0024168E"/>
    <w:rsid w:val="00277A5C"/>
    <w:rsid w:val="00311207"/>
    <w:rsid w:val="00355461"/>
    <w:rsid w:val="003B2B55"/>
    <w:rsid w:val="003D4C08"/>
    <w:rsid w:val="00507562"/>
    <w:rsid w:val="005B5C8A"/>
    <w:rsid w:val="00634ADA"/>
    <w:rsid w:val="006A51D2"/>
    <w:rsid w:val="006C66C7"/>
    <w:rsid w:val="006D13CC"/>
    <w:rsid w:val="00722D20"/>
    <w:rsid w:val="00730CCE"/>
    <w:rsid w:val="007E006B"/>
    <w:rsid w:val="00830E41"/>
    <w:rsid w:val="00834B79"/>
    <w:rsid w:val="008E7588"/>
    <w:rsid w:val="00AE36A1"/>
    <w:rsid w:val="00AE61A8"/>
    <w:rsid w:val="00B03E59"/>
    <w:rsid w:val="00B534BC"/>
    <w:rsid w:val="00B62255"/>
    <w:rsid w:val="00BC3F24"/>
    <w:rsid w:val="00BC6BC4"/>
    <w:rsid w:val="00C54A5A"/>
    <w:rsid w:val="00CB6E3B"/>
    <w:rsid w:val="00CC3669"/>
    <w:rsid w:val="00D0753F"/>
    <w:rsid w:val="00D17EC4"/>
    <w:rsid w:val="00D46440"/>
    <w:rsid w:val="00F56035"/>
    <w:rsid w:val="00F67CAC"/>
    <w:rsid w:val="00F92C26"/>
    <w:rsid w:val="00FB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4103"/>
  <w15:chartTrackingRefBased/>
  <w15:docId w15:val="{B7A17CF9-2494-4EA9-B074-808F0C20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66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Oliver Bahnik</cp:lastModifiedBy>
  <cp:revision>20</cp:revision>
  <cp:lastPrinted>2025-11-25T09:41:00Z</cp:lastPrinted>
  <dcterms:created xsi:type="dcterms:W3CDTF">2024-01-31T07:07:00Z</dcterms:created>
  <dcterms:modified xsi:type="dcterms:W3CDTF">2025-11-25T10:12:00Z</dcterms:modified>
</cp:coreProperties>
</file>